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CE59B0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</w:t>
      </w:r>
      <w:r w:rsidRPr="00022A7E">
        <w:rPr>
          <w:szCs w:val="22"/>
        </w:rPr>
        <w:lastRenderedPageBreak/>
        <w:t xml:space="preserve">соответствующей статьей главы 28 УК РФ «Преступления в сфере компьютерной информации».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8E" w:rsidRDefault="008B2C8E">
      <w:r>
        <w:separator/>
      </w:r>
    </w:p>
  </w:endnote>
  <w:endnote w:type="continuationSeparator" w:id="1">
    <w:p w:rsidR="008B2C8E" w:rsidRDefault="008B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8E" w:rsidRDefault="008B2C8E">
      <w:r>
        <w:separator/>
      </w:r>
    </w:p>
  </w:footnote>
  <w:footnote w:type="continuationSeparator" w:id="1">
    <w:p w:rsidR="008B2C8E" w:rsidRDefault="008B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123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123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9B0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3D89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2C8E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9B0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3672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2020-11-05T13:48:00Z</dcterms:created>
  <dcterms:modified xsi:type="dcterms:W3CDTF">2020-11-06T03:00:00Z</dcterms:modified>
</cp:coreProperties>
</file>